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F8" w:rsidRDefault="002825F8" w:rsidP="00050C8A">
      <w:pPr>
        <w:rPr>
          <w:rFonts w:ascii="Times New Roman" w:hAnsi="Times New Roman" w:cs="Times New Roman"/>
          <w:sz w:val="28"/>
          <w:szCs w:val="28"/>
        </w:rPr>
      </w:pPr>
    </w:p>
    <w:p w:rsidR="00103140" w:rsidRPr="00E34AB1" w:rsidRDefault="00103140" w:rsidP="0010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AB1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103140" w:rsidRPr="00620336" w:rsidRDefault="00103140" w:rsidP="00103140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>от __________№ ________</w:t>
      </w:r>
      <w:proofErr w:type="gramStart"/>
      <w:r w:rsidRPr="00620336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620336">
        <w:rPr>
          <w:rFonts w:ascii="Times New Roman" w:hAnsi="Times New Roman" w:cs="Times New Roman"/>
          <w:sz w:val="28"/>
          <w:szCs w:val="28"/>
        </w:rPr>
        <w:t>о</w:t>
      </w:r>
    </w:p>
    <w:p w:rsidR="00103140" w:rsidRPr="00F6004C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4C">
        <w:rPr>
          <w:rFonts w:ascii="Times New Roman" w:hAnsi="Times New Roman" w:cs="Times New Roman"/>
          <w:sz w:val="28"/>
          <w:szCs w:val="28"/>
        </w:rPr>
        <w:t xml:space="preserve">Д О </w:t>
      </w:r>
      <w:proofErr w:type="gramStart"/>
      <w:r w:rsidRPr="00F600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004C">
        <w:rPr>
          <w:rFonts w:ascii="Times New Roman" w:hAnsi="Times New Roman" w:cs="Times New Roman"/>
          <w:sz w:val="28"/>
          <w:szCs w:val="28"/>
        </w:rPr>
        <w:t xml:space="preserve"> О Ж Н А Я  К А Р Т А</w:t>
      </w:r>
    </w:p>
    <w:p w:rsidR="00BD48AF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со школами с </w:t>
      </w:r>
      <w:r w:rsidRPr="00F6004C">
        <w:rPr>
          <w:rFonts w:ascii="Times New Roman" w:hAnsi="Times New Roman" w:cs="Times New Roman"/>
          <w:sz w:val="28"/>
          <w:szCs w:val="28"/>
        </w:rPr>
        <w:t>низкими образовательными результатами</w:t>
      </w:r>
    </w:p>
    <w:p w:rsidR="00B654DC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4DC" w:rsidRPr="009B779F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779F">
        <w:rPr>
          <w:rFonts w:ascii="Times New Roman" w:hAnsi="Times New Roman" w:cs="Times New Roman"/>
          <w:sz w:val="28"/>
          <w:szCs w:val="28"/>
        </w:rPr>
        <w:t>Сроки реализации: 2020-2021 учебный год</w:t>
      </w: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реализации: содействие преодолению рисков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через разработку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2C52" w:rsidRP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C52">
        <w:rPr>
          <w:rFonts w:ascii="Times New Roman" w:hAnsi="Times New Roman" w:cs="Times New Roman"/>
          <w:sz w:val="28"/>
          <w:szCs w:val="28"/>
        </w:rPr>
        <w:t>Разработка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Внедрение механизмов адресной поддержки общеобразовательным организациям с целью перехода в эффективный режим развития.</w:t>
      </w:r>
      <w:proofErr w:type="gramEnd"/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управленческих команд по вопросам профилактики и преодоления</w:t>
      </w:r>
      <w:r w:rsidR="000A0D0D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="000A0D0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0A0D0D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хся.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постоянного комплексного анализа по результатам процедур оценки качества образования.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партнерской деятельности общеобразовательных организаций с успешными школами.</w:t>
      </w:r>
    </w:p>
    <w:p w:rsidR="003A2C52" w:rsidRDefault="00155EBF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«Дорожной карты»: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организаций, разработавших и внедривших программы развития общеобразовательных организаций по улучшению образовательных результатов -100 %.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получивших адресную поддержку по конкретным затруднениям -100%.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управленческих команд, прошедших подготовку по вопросам профилактики и преодоления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-100%.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5EBF">
        <w:rPr>
          <w:rFonts w:ascii="Times New Roman" w:hAnsi="Times New Roman" w:cs="Times New Roman"/>
          <w:sz w:val="28"/>
          <w:szCs w:val="28"/>
        </w:rPr>
        <w:t>аличие системы мониторинга по результатам процедур оценки качества образования;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EBF">
        <w:rPr>
          <w:rFonts w:ascii="Times New Roman" w:hAnsi="Times New Roman" w:cs="Times New Roman"/>
          <w:sz w:val="28"/>
          <w:szCs w:val="28"/>
        </w:rPr>
        <w:t>недрение новых форм методической работы с педагогическими и руководящими кадрами;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заключенных договоров о взаимодействии с успешными школами – не менее 5.</w:t>
      </w:r>
    </w:p>
    <w:p w:rsidR="00155EBF" w:rsidRDefault="00155EBF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C237AD" w:rsidRPr="00155EBF" w:rsidRDefault="00C237AD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3148"/>
        <w:gridCol w:w="1681"/>
        <w:gridCol w:w="2449"/>
        <w:gridCol w:w="2912"/>
        <w:gridCol w:w="1490"/>
        <w:gridCol w:w="2358"/>
      </w:tblGrid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</w:tc>
        <w:tc>
          <w:tcPr>
            <w:tcW w:w="312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90" w:type="dxa"/>
          </w:tcPr>
          <w:p w:rsidR="008E27CC" w:rsidRP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9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Подтверждающая 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ылка</w:t>
            </w: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B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федерального проекта «Организация методической поддержки не менее 250 выявленным образовательным организациям, имеющим низкие образовательные результаты обучающихся, не менее чем из 20 субъектов Российской Федерации»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график, приказ Департамента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Ивановской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епартамент)</w:t>
            </w:r>
          </w:p>
        </w:tc>
        <w:tc>
          <w:tcPr>
            <w:tcW w:w="1790" w:type="dxa"/>
          </w:tcPr>
          <w:p w:rsidR="008E27CC" w:rsidRPr="0071166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Pr="0071166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8" w:type="dxa"/>
          </w:tcPr>
          <w:p w:rsidR="008E27CC" w:rsidRPr="00BC4A7D" w:rsidRDefault="008E27CC" w:rsidP="00BC4A7D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школами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методические рекомендации</w:t>
            </w:r>
          </w:p>
        </w:tc>
        <w:tc>
          <w:tcPr>
            <w:tcW w:w="312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ДПО ИО «Университет непрерывного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и инноваций»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ниверситет)</w:t>
            </w:r>
          </w:p>
        </w:tc>
        <w:tc>
          <w:tcPr>
            <w:tcW w:w="179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в формате ВКС с руководителями школ с  низкими образовательными результатами по реализации  «Дорожной карты» по работе со школами с низкими образовательными результатами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НОР)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совещания в режиме ВКС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Ивановской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епартамент)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постоянно действующего семинара для ШНОР по вопросам профилактики и преодоления школьной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программа постоянно действующего семинара по вопросам профилактики и преодоления школьной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A0083" w:rsidRDefault="008E27CC" w:rsidP="003104AE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обучающихся на региональном портале дистанционного обучения школьников </w:t>
            </w:r>
            <w:hyperlink r:id="rId8" w:history="1">
              <w:r w:rsidRPr="0021116B">
                <w:rPr>
                  <w:rFonts w:ascii="Times New Roman" w:hAnsi="Times New Roman" w:cs="Times New Roman"/>
                  <w:sz w:val="28"/>
                  <w:szCs w:val="28"/>
                </w:rPr>
                <w:t>http://portal.cioko.ru/</w:t>
              </w:r>
            </w:hyperlink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CC" w:rsidRPr="0021116B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2020</w:t>
            </w:r>
          </w:p>
        </w:tc>
        <w:tc>
          <w:tcPr>
            <w:tcW w:w="2449" w:type="dxa"/>
          </w:tcPr>
          <w:p w:rsidR="008E27CC" w:rsidRPr="006B3698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</w:t>
            </w: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доступности подготовки обучающихся из сельских и отдаленных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>Педагогам удалось спланировать свою педагогическую деятельность с учетом системы дистанционного обучения в рамках пандемии</w:t>
            </w:r>
          </w:p>
        </w:tc>
        <w:tc>
          <w:tcPr>
            <w:tcW w:w="312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«Ивановский региональный центр оценки качества образования» </w:t>
            </w:r>
          </w:p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ентр)</w:t>
            </w:r>
          </w:p>
        </w:tc>
        <w:tc>
          <w:tcPr>
            <w:tcW w:w="179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A0083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сборника «Статистико-аналитический отчет о результатах единого государственного экзамена в Ивановской области в 2020 году» в каждую образовательную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организацию для обсуждения и принятия управленческих решений 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ОО получила сборники для анализа работы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7CC" w:rsidRDefault="008E27CC" w:rsidP="0021116B"/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Корректировка дистанционных курсов в соответствии с требованиями ФГОС СОО: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- «Физика для выпускников»; 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(углубленный уровень,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(базовый и углубленный уровни,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«Информатика» (базовый и углубленный уровни,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- «Решаем теоретические задачи по информатике», предназначенного для подготовки к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 по образовательным программам среднего общего образования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«Биология» (базовый и углубленный уровни, 10-11 класс)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«Основы молекулярной биологии и генетического анализа»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«История» (базовый и углубленный уровни, 10-11 класс)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дистанционных курсов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</w:t>
            </w: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методистов и лучших учителей региона: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- «Подготовка к ЕГЭ по математике профильного уровня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в 9, 10, 11 классах;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«Подготовка к ЕГЭ по русскому языку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обществознанию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математике базового уровня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«Физика» в 9, 10, 11 классах;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в 9, 10, 11 классах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«Обществознание» в 9, 10, 11 классах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размещенные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работников ШНОР для обеспечения   сопровождения обучения школьников</w:t>
            </w:r>
          </w:p>
        </w:tc>
        <w:tc>
          <w:tcPr>
            <w:tcW w:w="1700" w:type="dxa"/>
          </w:tcPr>
          <w:p w:rsidR="008E27CC" w:rsidRPr="0021116B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8E27CC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Ивановской области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Департамент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 и математике в формате ОГЭ в общеобразовательных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для обучающихся 10 классов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диагностических работ 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>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для обучающихся 10 классов, выбравших в качестве профиля обучения следующие предметы: физику, химию, информатику и ИКТ, географию, иностранные языки, биологию, обществознание, литературу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диагностических работ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48" w:type="dxa"/>
          </w:tcPr>
          <w:p w:rsidR="008E27CC" w:rsidRDefault="008E27C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на федеральных ресурсах педагогов школ, показывающих низкие образовательные результаты  </w:t>
            </w:r>
          </w:p>
        </w:tc>
        <w:tc>
          <w:tcPr>
            <w:tcW w:w="1700" w:type="dxa"/>
          </w:tcPr>
          <w:p w:rsidR="008E27CC" w:rsidRPr="003A2C52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30.11.2020</w:t>
            </w:r>
          </w:p>
        </w:tc>
        <w:tc>
          <w:tcPr>
            <w:tcW w:w="2449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итогами обучения</w:t>
            </w:r>
          </w:p>
        </w:tc>
        <w:tc>
          <w:tcPr>
            <w:tcW w:w="312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3148" w:type="dxa"/>
          </w:tcPr>
          <w:p w:rsidR="008E27CC" w:rsidRDefault="008E27C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(самооценки) деятельности  школ для разработки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по улучшению результатов образовательной деятельности</w:t>
            </w:r>
          </w:p>
        </w:tc>
        <w:tc>
          <w:tcPr>
            <w:tcW w:w="1700" w:type="dxa"/>
          </w:tcPr>
          <w:p w:rsidR="008E27CC" w:rsidRDefault="008E27CC" w:rsidP="003A2C52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до 05.11. 2020</w:t>
            </w:r>
          </w:p>
        </w:tc>
        <w:tc>
          <w:tcPr>
            <w:tcW w:w="2449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ОО</w:t>
            </w:r>
          </w:p>
        </w:tc>
        <w:tc>
          <w:tcPr>
            <w:tcW w:w="312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развития по повышению результатов образовательной деятельности в школах с низкими образовательными результатами на 2020-2021 учебный год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программы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по повышению результатов образовательной деятельности в школах с низкими образовательными результатами на 2020-2021 учебный год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реализации программ развития по повышению результатов образовательной деятельности в школах с низкими образовательными результатами на 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учебный год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информацию на сайты, СМИ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Круглый стол «Всероссийские проверочные работы в региональной системе оценки качества образования»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круглого стола, материалы к круглому столу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ВПР по общеобразовательным организациям в 2020 году, подготовка методических рекомендаций для учителей школ с низкими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результатами.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принятия управленческих решений.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результатов федеральных исследований качества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обучающихся в практике работы школы»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январь 2021 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 с низкими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результатами, материалы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вебинару</w:t>
            </w:r>
            <w:proofErr w:type="spellEnd"/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проведение корректирующих работ в общеобразовательных организациях для обучающихся 10 классов по иностранному языку (английский язык) в двух форматах: базовая подготовка и подготовка высокого уровня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Pr="002825F8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языку, математике, физике, химии, географии, информатике и ИКТ в формате ОГЭ в рамках мониторинга качества подготовки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государственной итоговой аттестации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март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корректирующих работ в рамках мониторинга результатов обучения в школах по физике и химии в 11 классах в двух форматах:</w:t>
            </w:r>
          </w:p>
          <w:p w:rsidR="008E27CC" w:rsidRPr="0021116B" w:rsidRDefault="008E27C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76" w:lineRule="auto"/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формате </w:t>
            </w:r>
            <w:proofErr w:type="gram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на базовом уровне;</w:t>
            </w:r>
          </w:p>
          <w:p w:rsidR="008E27CC" w:rsidRPr="0021116B" w:rsidRDefault="008E27C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формате </w:t>
            </w:r>
            <w:proofErr w:type="gram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на углубленном уровне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Pr="002825F8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диалог «Возможности использования технологии интерпретации результатов диагностики уровня индивидуальных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 обучающихся для повышения качества образования»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 г.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мероприятия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дней по теме «Педагогические инструменты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немотивированными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 Дифференцированное, индивидуализированное преподавание»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методических дней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стажировки школ с низкими образовательными результатами на базах успешных школ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тогам стажировки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 с низкими образовательными результатами, успешных школ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48" w:type="dxa"/>
          </w:tcPr>
          <w:p w:rsidR="008E27CC" w:rsidRPr="00D15D72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учителей – предметников  на уровне ассоциаций учителей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предметников (мастер классы, творческие мастерские, практикумы)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9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преподавания учебных предметов с целью повышения качества и результативности обучения школьников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48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руководителей образовательных организаций школ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48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 школами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справки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140" w:rsidRPr="00F6004C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178" w:rsidRPr="00763CD0" w:rsidRDefault="00E16178" w:rsidP="00E16178"/>
    <w:sectPr w:rsidR="00E16178" w:rsidRPr="00763CD0" w:rsidSect="00103140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92" w:rsidRDefault="002F5892">
      <w:pPr>
        <w:spacing w:after="0" w:line="240" w:lineRule="auto"/>
      </w:pPr>
      <w:r>
        <w:separator/>
      </w:r>
    </w:p>
  </w:endnote>
  <w:endnote w:type="continuationSeparator" w:id="0">
    <w:p w:rsidR="002F5892" w:rsidRDefault="002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92" w:rsidRDefault="002F5892">
      <w:pPr>
        <w:spacing w:after="0" w:line="240" w:lineRule="auto"/>
      </w:pPr>
      <w:r>
        <w:separator/>
      </w:r>
    </w:p>
  </w:footnote>
  <w:footnote w:type="continuationSeparator" w:id="0">
    <w:p w:rsidR="002F5892" w:rsidRDefault="002F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6B3698" w:rsidRDefault="006B3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7CC">
          <w:rPr>
            <w:noProof/>
          </w:rPr>
          <w:t>15</w:t>
        </w:r>
        <w:r>
          <w:fldChar w:fldCharType="end"/>
        </w:r>
      </w:p>
    </w:sdtContent>
  </w:sdt>
  <w:p w:rsidR="006B3698" w:rsidRDefault="006B3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374"/>
    <w:multiLevelType w:val="hybridMultilevel"/>
    <w:tmpl w:val="0AA472C0"/>
    <w:lvl w:ilvl="0" w:tplc="80220E58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4B1D695B"/>
    <w:multiLevelType w:val="hybridMultilevel"/>
    <w:tmpl w:val="DF7A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F83"/>
    <w:multiLevelType w:val="hybridMultilevel"/>
    <w:tmpl w:val="4CB2C730"/>
    <w:lvl w:ilvl="0" w:tplc="D5EA3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0"/>
    <w:rsid w:val="00005C37"/>
    <w:rsid w:val="00050C8A"/>
    <w:rsid w:val="0007243B"/>
    <w:rsid w:val="000843BF"/>
    <w:rsid w:val="000A0D0D"/>
    <w:rsid w:val="000C6F32"/>
    <w:rsid w:val="000D213B"/>
    <w:rsid w:val="00103140"/>
    <w:rsid w:val="00155EBF"/>
    <w:rsid w:val="001B1B06"/>
    <w:rsid w:val="0021116B"/>
    <w:rsid w:val="00216C14"/>
    <w:rsid w:val="002825F8"/>
    <w:rsid w:val="002868CD"/>
    <w:rsid w:val="002A68EE"/>
    <w:rsid w:val="002F5892"/>
    <w:rsid w:val="00315F6B"/>
    <w:rsid w:val="003A2C52"/>
    <w:rsid w:val="00506855"/>
    <w:rsid w:val="005139C7"/>
    <w:rsid w:val="00571B62"/>
    <w:rsid w:val="00632A76"/>
    <w:rsid w:val="006B3698"/>
    <w:rsid w:val="0071166C"/>
    <w:rsid w:val="008811A7"/>
    <w:rsid w:val="008E27CC"/>
    <w:rsid w:val="00903FA4"/>
    <w:rsid w:val="009B779F"/>
    <w:rsid w:val="009C112A"/>
    <w:rsid w:val="009E6292"/>
    <w:rsid w:val="00A937E9"/>
    <w:rsid w:val="00AF0DE7"/>
    <w:rsid w:val="00B54D2E"/>
    <w:rsid w:val="00B654DC"/>
    <w:rsid w:val="00BC4A7D"/>
    <w:rsid w:val="00BD48AF"/>
    <w:rsid w:val="00BF4DEA"/>
    <w:rsid w:val="00C237AD"/>
    <w:rsid w:val="00CD4FF0"/>
    <w:rsid w:val="00D15D72"/>
    <w:rsid w:val="00D3687F"/>
    <w:rsid w:val="00DB5B77"/>
    <w:rsid w:val="00E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ioko.ru/articles/new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18</cp:revision>
  <cp:lastPrinted>2020-10-12T11:37:00Z</cp:lastPrinted>
  <dcterms:created xsi:type="dcterms:W3CDTF">2020-10-02T09:32:00Z</dcterms:created>
  <dcterms:modified xsi:type="dcterms:W3CDTF">2021-05-17T05:27:00Z</dcterms:modified>
</cp:coreProperties>
</file>